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696FAF"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bookmarkStart w:id="0" w:name="_GoBack"/>
      <w:bookmarkEnd w:id="0"/>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696FA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006A400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0726D265" w14:textId="77777777" w:rsidR="00812949" w:rsidRPr="00E74967" w:rsidRDefault="00812949" w:rsidP="00CB41C4">
      <w:pPr>
        <w:tabs>
          <w:tab w:val="left" w:leader="underscore" w:pos="9639"/>
        </w:tabs>
        <w:spacing w:after="0" w:line="240" w:lineRule="auto"/>
        <w:jc w:val="both"/>
        <w:rPr>
          <w:rFonts w:cs="Calibri"/>
        </w:rPr>
      </w:pPr>
    </w:p>
    <w:p w14:paraId="0AB52269" w14:textId="77777777" w:rsidR="00812949" w:rsidRPr="00812949" w:rsidRDefault="00812949" w:rsidP="00812949">
      <w:pPr>
        <w:tabs>
          <w:tab w:val="left" w:leader="underscore" w:pos="9639"/>
        </w:tabs>
        <w:spacing w:after="0" w:line="240" w:lineRule="auto"/>
        <w:jc w:val="both"/>
        <w:rPr>
          <w:rFonts w:cs="Calibri"/>
        </w:rPr>
      </w:pPr>
      <w:r w:rsidRPr="00812949">
        <w:rPr>
          <w:rFonts w:cs="Calibri"/>
          <w:b/>
          <w:bCs/>
        </w:rPr>
        <w:t>El Centro de Ciencias Explora</w:t>
      </w:r>
      <w:r w:rsidRPr="00812949">
        <w:rPr>
          <w:rFonts w:cs="Calibri"/>
        </w:rPr>
        <w:t xml:space="preserve"> fue creado por el Patronato de la Feria Estatal de León. En 1992, el Patronato concibió la idea de crear una reserva ecológica que incluyera un centro interactivo de ciencias enfocado a la niñez, la juventud y las familias. Los Gobiernos Municipal, Estatal y Federal apoyaron el proyecto; éste último donó el predio al Municipio de León, para que el Patronato de la Feria lo administrara.</w:t>
      </w:r>
    </w:p>
    <w:p w14:paraId="61F5D89B" w14:textId="77777777" w:rsidR="00812949" w:rsidRPr="00812949" w:rsidRDefault="00812949" w:rsidP="00812949">
      <w:pPr>
        <w:tabs>
          <w:tab w:val="left" w:leader="underscore" w:pos="9639"/>
        </w:tabs>
        <w:spacing w:after="0" w:line="240" w:lineRule="auto"/>
        <w:jc w:val="both"/>
        <w:rPr>
          <w:rFonts w:cs="Calibri"/>
        </w:rPr>
      </w:pPr>
    </w:p>
    <w:p w14:paraId="2F839092"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El proceso de diseño y construcción tanto del parque como del centro de ciencias se llevó 16 meses. Explora abrió sus puertas al público el 23 de </w:t>
      </w:r>
      <w:proofErr w:type="gramStart"/>
      <w:r w:rsidRPr="00812949">
        <w:rPr>
          <w:rFonts w:cs="Calibri"/>
        </w:rPr>
        <w:t>Noviembre</w:t>
      </w:r>
      <w:proofErr w:type="gramEnd"/>
      <w:r w:rsidRPr="00812949">
        <w:rPr>
          <w:rFonts w:cs="Calibri"/>
        </w:rPr>
        <w:t xml:space="preserve"> de 1994.</w:t>
      </w:r>
    </w:p>
    <w:p w14:paraId="654DF7D8" w14:textId="77777777" w:rsidR="00812949" w:rsidRPr="00812949" w:rsidRDefault="00812949" w:rsidP="00812949">
      <w:pPr>
        <w:tabs>
          <w:tab w:val="left" w:leader="underscore" w:pos="9639"/>
        </w:tabs>
        <w:spacing w:after="0" w:line="240" w:lineRule="auto"/>
        <w:jc w:val="both"/>
        <w:rPr>
          <w:rFonts w:cs="Calibri"/>
        </w:rPr>
      </w:pPr>
    </w:p>
    <w:p w14:paraId="7B2A0C41" w14:textId="77777777" w:rsidR="00812949" w:rsidRPr="00812949" w:rsidRDefault="00812949" w:rsidP="00812949">
      <w:pPr>
        <w:tabs>
          <w:tab w:val="left" w:leader="underscore" w:pos="9639"/>
        </w:tabs>
        <w:spacing w:after="0" w:line="240" w:lineRule="auto"/>
        <w:jc w:val="both"/>
        <w:rPr>
          <w:rFonts w:cs="Calibri"/>
        </w:rPr>
      </w:pPr>
    </w:p>
    <w:p w14:paraId="1725244F" w14:textId="0B10C4B1"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Muy pronto Explora mostró su vocación </w:t>
      </w:r>
      <w:proofErr w:type="spellStart"/>
      <w:r w:rsidRPr="00812949">
        <w:rPr>
          <w:rFonts w:cs="Calibri"/>
        </w:rPr>
        <w:t>innovativa</w:t>
      </w:r>
      <w:proofErr w:type="spellEnd"/>
      <w:r w:rsidRPr="00812949">
        <w:rPr>
          <w:rFonts w:cs="Calibri"/>
        </w:rPr>
        <w:t xml:space="preserve"> y su enfoque de pertinencia social, al crear y poner en operación los Centros del saber, </w:t>
      </w:r>
      <w:proofErr w:type="spellStart"/>
      <w:r w:rsidRPr="00812949">
        <w:rPr>
          <w:rFonts w:cs="Calibri"/>
        </w:rPr>
        <w:t>multitecas</w:t>
      </w:r>
      <w:proofErr w:type="spellEnd"/>
      <w:r w:rsidRPr="00812949">
        <w:rPr>
          <w:rFonts w:cs="Calibri"/>
        </w:rPr>
        <w:t xml:space="preserve"> de barrio enfocadas a servir a sectores poblacionales económicamente desfavorecidos. En </w:t>
      </w:r>
      <w:r w:rsidR="00171BE1" w:rsidRPr="00812949">
        <w:rPr>
          <w:rFonts w:cs="Calibri"/>
        </w:rPr>
        <w:t>febrero</w:t>
      </w:r>
      <w:r w:rsidRPr="00812949">
        <w:rPr>
          <w:rFonts w:cs="Calibri"/>
        </w:rPr>
        <w:t xml:space="preserve"> 1997 fueron abiertos los primeros tres Centros del saber. En </w:t>
      </w:r>
      <w:r w:rsidR="00171BE1" w:rsidRPr="00812949">
        <w:rPr>
          <w:rFonts w:cs="Calibri"/>
        </w:rPr>
        <w:t>marzo</w:t>
      </w:r>
      <w:r w:rsidRPr="00812949">
        <w:rPr>
          <w:rFonts w:cs="Calibri"/>
        </w:rPr>
        <w:t xml:space="preserve"> 1998 y </w:t>
      </w:r>
      <w:r w:rsidR="00171BE1" w:rsidRPr="00812949">
        <w:rPr>
          <w:rFonts w:cs="Calibri"/>
        </w:rPr>
        <w:t>septiembre</w:t>
      </w:r>
      <w:r w:rsidRPr="00812949">
        <w:rPr>
          <w:rFonts w:cs="Calibri"/>
        </w:rPr>
        <w:t xml:space="preserve"> 2000, Explora puso en operación dos Centros más.</w:t>
      </w:r>
    </w:p>
    <w:p w14:paraId="06EEA692" w14:textId="77777777" w:rsidR="00812949" w:rsidRPr="00812949" w:rsidRDefault="00812949" w:rsidP="00812949">
      <w:pPr>
        <w:tabs>
          <w:tab w:val="left" w:leader="underscore" w:pos="9639"/>
        </w:tabs>
        <w:spacing w:after="0" w:line="240" w:lineRule="auto"/>
        <w:jc w:val="both"/>
        <w:rPr>
          <w:rFonts w:cs="Calibri"/>
        </w:rPr>
      </w:pPr>
    </w:p>
    <w:p w14:paraId="0C78E78A" w14:textId="3EF96B80"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En </w:t>
      </w:r>
      <w:r w:rsidR="00171BE1" w:rsidRPr="00812949">
        <w:rPr>
          <w:rFonts w:cs="Calibri"/>
        </w:rPr>
        <w:t>mayo</w:t>
      </w:r>
      <w:r w:rsidRPr="00812949">
        <w:rPr>
          <w:rFonts w:cs="Calibri"/>
        </w:rPr>
        <w:t xml:space="preserve"> 1999 Explora inauguró su primera exposición itinerante, sobre el VIH-SIDA. </w:t>
      </w:r>
    </w:p>
    <w:p w14:paraId="15574AF7" w14:textId="06C68D6A"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En </w:t>
      </w:r>
      <w:r w:rsidR="00171BE1" w:rsidRPr="00812949">
        <w:rPr>
          <w:rFonts w:cs="Calibri"/>
        </w:rPr>
        <w:t>noviembre</w:t>
      </w:r>
      <w:r w:rsidRPr="00812949">
        <w:rPr>
          <w:rFonts w:cs="Calibri"/>
        </w:rPr>
        <w:t xml:space="preserve"> 2001, Explora recibió de la Red Pop-UNESCO el Premio Latinoamericano de</w:t>
      </w:r>
    </w:p>
    <w:p w14:paraId="50E39130"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 Popularización de Ciencia y Tecnología 2000-2001.</w:t>
      </w:r>
    </w:p>
    <w:p w14:paraId="4545C5C3"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En Julio 2002, se puso en servicio la primera sala totalmente renovada del Centro de Ciencias, la Sala del Paneta Agua, creada mediante un proyecto de reingeniería de la primera Sala del Agua del Centro de Ciencias. Así se inició en la práctica el proceso de renovación educativo-museística de Explora, con horizonte de tiempo al 2010. </w:t>
      </w:r>
    </w:p>
    <w:p w14:paraId="20C0B630" w14:textId="4B06201C"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En </w:t>
      </w:r>
      <w:r w:rsidR="00171BE1" w:rsidRPr="00812949">
        <w:rPr>
          <w:rFonts w:cs="Calibri"/>
        </w:rPr>
        <w:t>enero</w:t>
      </w:r>
      <w:r w:rsidRPr="00812949">
        <w:rPr>
          <w:rFonts w:cs="Calibri"/>
        </w:rPr>
        <w:t xml:space="preserve"> 2003 fue inaugurada la segunda exposición itinerante de Explora, "¡Aguas con el agua!". </w:t>
      </w:r>
    </w:p>
    <w:p w14:paraId="1C1A1BF1"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Mayo 2003: Explora fue sede y organizador de un congreso internacional, la 8° Reunión de la Red Pop; y del 12° Congreso Nacional de la </w:t>
      </w:r>
      <w:proofErr w:type="spellStart"/>
      <w:r w:rsidRPr="00812949">
        <w:rPr>
          <w:rFonts w:cs="Calibri"/>
        </w:rPr>
        <w:t>SOMEDICyT</w:t>
      </w:r>
      <w:proofErr w:type="spellEnd"/>
      <w:r w:rsidRPr="00812949">
        <w:rPr>
          <w:rFonts w:cs="Calibri"/>
        </w:rPr>
        <w:t xml:space="preserve">. </w:t>
      </w:r>
    </w:p>
    <w:p w14:paraId="30AEB17C"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2004-2006: Renovación parcial de los contenidos educativos y museográficos de la Sala del Cuerpo Humano.</w:t>
      </w:r>
    </w:p>
    <w:p w14:paraId="38DBC015"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Abril 2006: Inauguración del nuevo sistema de proyección IMAX® 3D (en tercera dimensión), en sustitución del anterior sistema 2D. Remodelación del Teatro IMAX®.</w:t>
      </w:r>
    </w:p>
    <w:p w14:paraId="6164BDE5"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Julio 2006: Apertura al público del nuevo Taller de las Tecnologías Emergentes, que aborda los temas de Electrónica, Robótica, Nanotecnología y MEMS.</w:t>
      </w:r>
    </w:p>
    <w:p w14:paraId="70D5D2FB" w14:textId="4E4B43F4"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Septiembre 2006: Conferencias en Explora de dos científicos galardonados con el Premio Nobel, los Dres. </w:t>
      </w:r>
      <w:r w:rsidR="00171BE1" w:rsidRPr="00812949">
        <w:rPr>
          <w:rFonts w:cs="Calibri"/>
        </w:rPr>
        <w:t>León</w:t>
      </w:r>
      <w:r w:rsidRPr="00812949">
        <w:rPr>
          <w:rFonts w:cs="Calibri"/>
        </w:rPr>
        <w:t xml:space="preserve"> </w:t>
      </w:r>
      <w:proofErr w:type="spellStart"/>
      <w:r w:rsidRPr="00812949">
        <w:rPr>
          <w:rFonts w:cs="Calibri"/>
        </w:rPr>
        <w:t>Lederman</w:t>
      </w:r>
      <w:proofErr w:type="spellEnd"/>
      <w:r w:rsidRPr="00812949">
        <w:rPr>
          <w:rFonts w:cs="Calibri"/>
        </w:rPr>
        <w:t xml:space="preserve"> y Charles </w:t>
      </w:r>
      <w:proofErr w:type="spellStart"/>
      <w:r w:rsidRPr="00812949">
        <w:rPr>
          <w:rFonts w:cs="Calibri"/>
        </w:rPr>
        <w:t>Hard</w:t>
      </w:r>
      <w:proofErr w:type="spellEnd"/>
      <w:r w:rsidRPr="00812949">
        <w:rPr>
          <w:rFonts w:cs="Calibri"/>
        </w:rPr>
        <w:t xml:space="preserve"> </w:t>
      </w:r>
      <w:proofErr w:type="spellStart"/>
      <w:r w:rsidRPr="00812949">
        <w:rPr>
          <w:rFonts w:cs="Calibri"/>
        </w:rPr>
        <w:t>Townes</w:t>
      </w:r>
      <w:proofErr w:type="spellEnd"/>
      <w:r w:rsidRPr="00812949">
        <w:rPr>
          <w:rFonts w:cs="Calibri"/>
        </w:rPr>
        <w:t>.</w:t>
      </w:r>
    </w:p>
    <w:p w14:paraId="560BCA63"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Mayo 2007: La Red Pop otorgó por segunda ocasión a Explora el Premio Latinoamericano de Popularización de Ciencia y Tecnología 2006-2007, en San José, Costa Rica. </w:t>
      </w:r>
    </w:p>
    <w:p w14:paraId="1D6024B0"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Diciembre 2007: Concluyó la construcción del nuevo Salón de Usos Múltiples "Galileo",</w:t>
      </w:r>
    </w:p>
    <w:p w14:paraId="0C6C3CEC"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 del Centro de Ciencias.</w:t>
      </w:r>
    </w:p>
    <w:p w14:paraId="2F69DA11"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Diciembre 2018: Sala Innovación.</w:t>
      </w:r>
    </w:p>
    <w:p w14:paraId="0ADF77B9"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Diciembre 2019: Estacionamiento.</w:t>
      </w:r>
    </w:p>
    <w:p w14:paraId="3A00BADD"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Diciembre 2020: Sala el lugar que habitas, vestíbulo, módulo de servicios.</w:t>
      </w:r>
    </w:p>
    <w:p w14:paraId="490D9523"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Diciembre 2021: Salas Explora en movimiento y Explora la vida.</w:t>
      </w:r>
    </w:p>
    <w:p w14:paraId="291F4C4A" w14:textId="14A09139" w:rsidR="00812949" w:rsidRPr="00812949" w:rsidRDefault="00812949" w:rsidP="00812949">
      <w:pPr>
        <w:tabs>
          <w:tab w:val="left" w:leader="underscore" w:pos="9639"/>
        </w:tabs>
        <w:spacing w:after="0" w:line="240" w:lineRule="auto"/>
        <w:jc w:val="both"/>
        <w:rPr>
          <w:rFonts w:cs="Calibri"/>
        </w:rPr>
      </w:pPr>
      <w:r w:rsidRPr="00812949">
        <w:rPr>
          <w:rFonts w:cs="Calibri"/>
        </w:rPr>
        <w:lastRenderedPageBreak/>
        <w:t>Diciembre 2022: Sala la Libélula.</w:t>
      </w:r>
    </w:p>
    <w:p w14:paraId="3837CA26" w14:textId="5EC37039"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77777777" w:rsidR="0012493A" w:rsidRPr="00E74967" w:rsidRDefault="0012493A" w:rsidP="0012493A">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350350" w14:textId="77777777" w:rsidR="00812949" w:rsidRPr="00812949" w:rsidRDefault="00812949" w:rsidP="00812949">
      <w:pPr>
        <w:tabs>
          <w:tab w:val="left" w:leader="underscore" w:pos="9639"/>
        </w:tabs>
        <w:spacing w:after="0" w:line="240" w:lineRule="auto"/>
        <w:jc w:val="both"/>
        <w:rPr>
          <w:rFonts w:cs="Calibri"/>
          <w:u w:val="single"/>
        </w:rPr>
      </w:pPr>
      <w:r w:rsidRPr="00812949">
        <w:rPr>
          <w:rFonts w:cs="Calibri"/>
          <w:b/>
          <w:bCs/>
        </w:rPr>
        <w:t>Promover en la comunidad,</w:t>
      </w:r>
      <w:r w:rsidRPr="00812949">
        <w:rPr>
          <w:rFonts w:cs="Calibri"/>
        </w:rPr>
        <w:t xml:space="preserve"> principalmente en niños y jóvenes, el gusto por el conocimiento y la investigación, en espacios que estimulen su capacidad de búsqueda de aprendizaje, de reflexión y de recreación, con base en los medios modernos de acceso a la información y en actividades que propicien un manejo efectivo de la misma para apoyar la formación de las personas en el desarrollo de los conocimientos, habilidades y actitudes."</w:t>
      </w:r>
    </w:p>
    <w:p w14:paraId="3ACF74F3" w14:textId="15237465"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907282C"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operar, conservar, mejorar, desarrollar y renovar el centro de ciencias y sus centros del saber, a fin de cumplir con la misión y lograr los objetivos permanentes, operación, mantenimiento, servicio y desarrollo de Explora</w:t>
      </w:r>
    </w:p>
    <w:p w14:paraId="25E068D1" w14:textId="23644711"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095C8623" w:rsidR="007D1E76" w:rsidRPr="00E74967" w:rsidRDefault="00812949" w:rsidP="00CB41C4">
      <w:pPr>
        <w:tabs>
          <w:tab w:val="left" w:leader="underscore" w:pos="9639"/>
        </w:tabs>
        <w:spacing w:after="0" w:line="240" w:lineRule="auto"/>
        <w:jc w:val="both"/>
        <w:rPr>
          <w:rFonts w:cs="Calibri"/>
        </w:rPr>
      </w:pPr>
      <w:r>
        <w:rPr>
          <w:rFonts w:cs="Calibri"/>
        </w:rPr>
        <w:t>Enero a diciembre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6528E1BA" w:rsidR="007D1E76" w:rsidRPr="00812949" w:rsidRDefault="00812949" w:rsidP="00CB41C4">
      <w:pPr>
        <w:tabs>
          <w:tab w:val="left" w:leader="underscore" w:pos="9639"/>
        </w:tabs>
        <w:spacing w:after="0" w:line="240" w:lineRule="auto"/>
        <w:jc w:val="both"/>
        <w:rPr>
          <w:rFonts w:cs="Calibri"/>
        </w:rPr>
      </w:pPr>
      <w:r w:rsidRPr="00812949">
        <w:rPr>
          <w:rFonts w:cs="Calibri"/>
        </w:rPr>
        <w:t>Patronato de Explora,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FBCA4D8"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retención de </w:t>
      </w:r>
      <w:proofErr w:type="spellStart"/>
      <w:r w:rsidRPr="00812949">
        <w:rPr>
          <w:rFonts w:cs="Calibri"/>
        </w:rPr>
        <w:t>isr</w:t>
      </w:r>
      <w:proofErr w:type="spellEnd"/>
      <w:r w:rsidRPr="00812949">
        <w:rPr>
          <w:rFonts w:cs="Calibri"/>
        </w:rPr>
        <w:t xml:space="preserve"> por salarios</w:t>
      </w:r>
    </w:p>
    <w:p w14:paraId="130CD4A1"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retención de </w:t>
      </w:r>
      <w:proofErr w:type="spellStart"/>
      <w:r w:rsidRPr="00812949">
        <w:rPr>
          <w:rFonts w:cs="Calibri"/>
        </w:rPr>
        <w:t>isr</w:t>
      </w:r>
      <w:proofErr w:type="spellEnd"/>
      <w:r w:rsidRPr="00812949">
        <w:rPr>
          <w:rFonts w:cs="Calibri"/>
        </w:rPr>
        <w:t xml:space="preserve"> por honorarios</w:t>
      </w:r>
    </w:p>
    <w:p w14:paraId="6E45D603" w14:textId="2A648157" w:rsidR="00812949" w:rsidRPr="00812949" w:rsidRDefault="00812949" w:rsidP="00812949">
      <w:pPr>
        <w:tabs>
          <w:tab w:val="left" w:leader="underscore" w:pos="9639"/>
        </w:tabs>
        <w:spacing w:after="0" w:line="240" w:lineRule="auto"/>
        <w:jc w:val="both"/>
        <w:rPr>
          <w:rFonts w:cs="Calibri"/>
        </w:rPr>
      </w:pPr>
      <w:r w:rsidRPr="00812949">
        <w:rPr>
          <w:rFonts w:cs="Calibri"/>
        </w:rPr>
        <w:t>retenciones residentes en el extranjero</w:t>
      </w:r>
    </w:p>
    <w:p w14:paraId="083033C5"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impuesto cedular sobre nomina</w:t>
      </w:r>
    </w:p>
    <w:p w14:paraId="3C3EB7A7"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retención impuestos cedular arrendamiento</w:t>
      </w:r>
    </w:p>
    <w:p w14:paraId="4D184627" w14:textId="77777777" w:rsidR="00812949" w:rsidRPr="00812949" w:rsidRDefault="00812949" w:rsidP="00812949">
      <w:pPr>
        <w:tabs>
          <w:tab w:val="left" w:leader="underscore" w:pos="9639"/>
        </w:tabs>
        <w:spacing w:after="0" w:line="240" w:lineRule="auto"/>
        <w:jc w:val="both"/>
        <w:rPr>
          <w:rFonts w:cs="Calibri"/>
        </w:rPr>
      </w:pPr>
      <w:proofErr w:type="gramStart"/>
      <w:r w:rsidRPr="00812949">
        <w:rPr>
          <w:rFonts w:cs="Calibri"/>
        </w:rPr>
        <w:lastRenderedPageBreak/>
        <w:t>retención impuesto</w:t>
      </w:r>
      <w:proofErr w:type="gramEnd"/>
      <w:r w:rsidRPr="00812949">
        <w:rPr>
          <w:rFonts w:cs="Calibri"/>
        </w:rPr>
        <w:t xml:space="preserve"> cedular honorarios</w:t>
      </w:r>
    </w:p>
    <w:p w14:paraId="374820C2"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impuesto al valor agregado</w:t>
      </w:r>
    </w:p>
    <w:p w14:paraId="651D7D1A" w14:textId="77777777" w:rsidR="00812949" w:rsidRPr="00812949" w:rsidRDefault="00812949" w:rsidP="00812949">
      <w:pPr>
        <w:tabs>
          <w:tab w:val="left" w:leader="underscore" w:pos="9639"/>
        </w:tabs>
        <w:spacing w:after="0" w:line="240" w:lineRule="auto"/>
        <w:jc w:val="both"/>
        <w:rPr>
          <w:rFonts w:cs="Calibri"/>
        </w:rPr>
      </w:pPr>
      <w:r w:rsidRPr="00812949">
        <w:rPr>
          <w:rFonts w:cs="Calibri"/>
        </w:rPr>
        <w:t xml:space="preserve">retención del </w:t>
      </w:r>
      <w:proofErr w:type="spellStart"/>
      <w:r w:rsidRPr="00812949">
        <w:rPr>
          <w:rFonts w:cs="Calibri"/>
        </w:rPr>
        <w:t>isr</w:t>
      </w:r>
      <w:proofErr w:type="spellEnd"/>
      <w:r w:rsidRPr="00812949">
        <w:rPr>
          <w:rFonts w:cs="Calibri"/>
        </w:rPr>
        <w:t xml:space="preserve"> al régimen simplificado de confianza</w:t>
      </w:r>
    </w:p>
    <w:p w14:paraId="7E6777B9" w14:textId="25693255"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2195ABC8"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5EBDB3F" w14:textId="77777777" w:rsidR="00812949" w:rsidRPr="00E74967" w:rsidRDefault="00812949"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749C138E" w:rsidR="007D1E76" w:rsidRPr="00E74967" w:rsidRDefault="00F4335E" w:rsidP="00CB41C4">
      <w:pPr>
        <w:tabs>
          <w:tab w:val="left" w:leader="underscore" w:pos="9639"/>
        </w:tabs>
        <w:spacing w:after="0" w:line="240" w:lineRule="auto"/>
        <w:jc w:val="both"/>
        <w:rPr>
          <w:rFonts w:cs="Calibri"/>
        </w:rPr>
      </w:pPr>
      <w:r>
        <w:rPr>
          <w:rFonts w:cs="Calibri"/>
        </w:rPr>
        <w:t>No aplica.</w:t>
      </w:r>
      <w:r w:rsidR="00904C14">
        <w:rPr>
          <w:rFonts w:cs="Calibri"/>
        </w:rPr>
        <w:t xml:space="preserve"> No existen fideicomisos.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64B9DEB5" w:rsidR="007D1E76" w:rsidRPr="00E74967" w:rsidRDefault="00F4335E" w:rsidP="00CB41C4">
      <w:pPr>
        <w:tabs>
          <w:tab w:val="left" w:leader="underscore" w:pos="9639"/>
        </w:tabs>
        <w:spacing w:after="0" w:line="240" w:lineRule="auto"/>
        <w:jc w:val="both"/>
        <w:rPr>
          <w:rFonts w:cs="Calibri"/>
        </w:rPr>
      </w:pPr>
      <w:r>
        <w:rPr>
          <w:rFonts w:cs="Calibr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19B7D59F" w:rsidR="007D1E76" w:rsidRPr="00F4335E" w:rsidRDefault="00F4335E" w:rsidP="00CB41C4">
      <w:pPr>
        <w:tabs>
          <w:tab w:val="left" w:leader="underscore" w:pos="9639"/>
        </w:tabs>
        <w:spacing w:after="0" w:line="240" w:lineRule="auto"/>
        <w:jc w:val="both"/>
        <w:rPr>
          <w:rFonts w:cs="Calibri"/>
        </w:rPr>
      </w:pPr>
      <w:r w:rsidRPr="00F4335E">
        <w:rPr>
          <w:rFonts w:cs="Calibri"/>
        </w:rPr>
        <w:t>Normas y metodología para la determinación de los momentos contables de los egresos (DOF)</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0B63D01A" w:rsidR="007D1E76" w:rsidRPr="00F4335E" w:rsidRDefault="00651AB6" w:rsidP="00CB41C4">
      <w:pPr>
        <w:tabs>
          <w:tab w:val="left" w:leader="underscore" w:pos="9639"/>
        </w:tabs>
        <w:spacing w:after="0" w:line="240" w:lineRule="auto"/>
        <w:jc w:val="both"/>
        <w:rPr>
          <w:rFonts w:cs="Calibri"/>
        </w:rPr>
      </w:pPr>
      <w:r>
        <w:rPr>
          <w:rFonts w:cs="Calibri"/>
        </w:rPr>
        <w:t>P</w:t>
      </w:r>
      <w:r w:rsidR="00F4335E" w:rsidRPr="00F4335E">
        <w:rPr>
          <w:rFonts w:cs="Calibri"/>
        </w:rPr>
        <w:t>ostulados básicos de la contabilidad gubernamental (CONAC)</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2977AB3" w14:textId="3E6785BB" w:rsidR="007D1E76" w:rsidRDefault="007D1E76" w:rsidP="00CB41C4">
      <w:pPr>
        <w:tabs>
          <w:tab w:val="left" w:leader="underscore" w:pos="9639"/>
        </w:tabs>
        <w:spacing w:after="0" w:line="240" w:lineRule="auto"/>
        <w:jc w:val="both"/>
        <w:rPr>
          <w:rFonts w:cs="Calibri"/>
        </w:rPr>
      </w:pPr>
    </w:p>
    <w:p w14:paraId="2482247D" w14:textId="77777777" w:rsidR="00651AB6" w:rsidRPr="00E74967" w:rsidRDefault="00651AB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55F44BAE" w:rsidR="006F0687" w:rsidRPr="00E74967" w:rsidRDefault="00F4335E" w:rsidP="006F0687">
      <w:pPr>
        <w:tabs>
          <w:tab w:val="left" w:leader="underscore" w:pos="9639"/>
        </w:tabs>
        <w:spacing w:after="0" w:line="240" w:lineRule="auto"/>
        <w:jc w:val="both"/>
        <w:rPr>
          <w:rFonts w:cs="Calibri"/>
        </w:rPr>
      </w:pPr>
      <w:r>
        <w:rPr>
          <w:rFonts w:cs="Calibri"/>
        </w:rPr>
        <w:t>Si.</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309638B5" w:rsidR="007D1E76" w:rsidRPr="00F4335E" w:rsidRDefault="00F4335E" w:rsidP="00CB41C4">
      <w:pPr>
        <w:tabs>
          <w:tab w:val="left" w:leader="underscore" w:pos="9639"/>
        </w:tabs>
        <w:spacing w:after="0" w:line="240" w:lineRule="auto"/>
        <w:jc w:val="both"/>
        <w:rPr>
          <w:rFonts w:cs="Calibri"/>
        </w:rPr>
      </w:pPr>
      <w:r w:rsidRPr="00F4335E">
        <w:rPr>
          <w:rFonts w:cs="Calibri"/>
        </w:rPr>
        <w:t>Regalías, película y mantenimiento de teatro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42622AC3" w14:textId="5E1ACD63" w:rsidR="000E1F4B"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0E1F4B">
        <w:rPr>
          <w:rFonts w:cs="Calibri"/>
        </w:rPr>
        <w:t xml:space="preserve">Se informa que los reportes financieros trimestrales del 2023 se corrigió los formatos </w:t>
      </w:r>
      <w:r w:rsidR="000E1F4B" w:rsidRPr="000E1F4B">
        <w:rPr>
          <w:rFonts w:cs="Calibri"/>
        </w:rPr>
        <w:t>0319_NDM</w:t>
      </w:r>
      <w:r w:rsidR="000E1F4B">
        <w:rPr>
          <w:rFonts w:cs="Calibri"/>
        </w:rPr>
        <w:t xml:space="preserve"> en </w:t>
      </w:r>
      <w:r w:rsidR="000E1F4B" w:rsidRPr="000E1F4B">
        <w:rPr>
          <w:rFonts w:cs="Calibri"/>
        </w:rPr>
        <w:t>EFE-03 CONCILIACION DE FLUJOS DE EFECTIVO NETOS</w:t>
      </w:r>
      <w:r w:rsidR="000E1F4B">
        <w:rPr>
          <w:rFonts w:cs="Calibri"/>
        </w:rPr>
        <w:t xml:space="preserve"> el resultado de </w:t>
      </w:r>
      <w:r w:rsidR="000E1F4B" w:rsidRPr="000E1F4B">
        <w:rPr>
          <w:rFonts w:cs="Calibri"/>
        </w:rPr>
        <w:t>Flujos de Efectivo Netos de las Actividades de Operación</w:t>
      </w:r>
      <w:r w:rsidR="000E1F4B">
        <w:rPr>
          <w:rFonts w:cs="Calibri"/>
        </w:rPr>
        <w:t xml:space="preserve"> conciliado con el formato </w:t>
      </w:r>
      <w:r w:rsidR="000E1F4B" w:rsidRPr="000E1F4B">
        <w:rPr>
          <w:rFonts w:cs="Calibri"/>
        </w:rPr>
        <w:t>0315_EFE</w:t>
      </w:r>
      <w:r w:rsidR="000E1F4B">
        <w:rPr>
          <w:rFonts w:cs="Calibri"/>
        </w:rPr>
        <w:t>, quedando ambos formatos trimestrales conciliados:</w:t>
      </w:r>
    </w:p>
    <w:p w14:paraId="3595EE07" w14:textId="77777777" w:rsidR="000E1F4B" w:rsidRDefault="000E1F4B" w:rsidP="001C34BC">
      <w:pPr>
        <w:tabs>
          <w:tab w:val="left" w:leader="underscore" w:pos="9639"/>
        </w:tabs>
        <w:spacing w:after="0" w:line="240" w:lineRule="auto"/>
        <w:jc w:val="both"/>
        <w:rPr>
          <w:rFonts w:cs="Calibri"/>
        </w:rPr>
      </w:pPr>
      <w:r>
        <w:rPr>
          <w:rFonts w:cs="Calibri"/>
        </w:rPr>
        <w:t>Primer trimestre $</w:t>
      </w:r>
      <w:r w:rsidRPr="000E1F4B">
        <w:rPr>
          <w:rFonts w:cs="Calibri"/>
        </w:rPr>
        <w:t>5,297,885.86</w:t>
      </w:r>
    </w:p>
    <w:p w14:paraId="07805C7D" w14:textId="735341BC" w:rsidR="001C34BC" w:rsidRDefault="000E1F4B" w:rsidP="001C34BC">
      <w:pPr>
        <w:tabs>
          <w:tab w:val="left" w:leader="underscore" w:pos="9639"/>
        </w:tabs>
        <w:spacing w:after="0" w:line="240" w:lineRule="auto"/>
        <w:jc w:val="both"/>
        <w:rPr>
          <w:rFonts w:cs="Calibri"/>
        </w:rPr>
      </w:pPr>
      <w:r>
        <w:rPr>
          <w:rFonts w:cs="Calibri"/>
        </w:rPr>
        <w:t>Segundo trimestre $</w:t>
      </w:r>
      <w:r w:rsidRPr="000E1F4B">
        <w:rPr>
          <w:rFonts w:cs="Calibri"/>
        </w:rPr>
        <w:t>48,025,372.21</w:t>
      </w:r>
    </w:p>
    <w:p w14:paraId="5C0DB438" w14:textId="65AF45F0" w:rsidR="000E1F4B" w:rsidRDefault="000E1F4B" w:rsidP="001C34BC">
      <w:pPr>
        <w:tabs>
          <w:tab w:val="left" w:leader="underscore" w:pos="9639"/>
        </w:tabs>
        <w:spacing w:after="0" w:line="240" w:lineRule="auto"/>
        <w:jc w:val="both"/>
        <w:rPr>
          <w:rFonts w:cs="Calibri"/>
        </w:rPr>
      </w:pPr>
      <w:r>
        <w:rPr>
          <w:rFonts w:cs="Calibri"/>
        </w:rPr>
        <w:t>Tercer trimestre $</w:t>
      </w:r>
      <w:r w:rsidRPr="000E1F4B">
        <w:rPr>
          <w:rFonts w:cs="Calibri"/>
        </w:rPr>
        <w:t>52,388,651.09</w:t>
      </w:r>
    </w:p>
    <w:p w14:paraId="6268D065" w14:textId="62AD53FC" w:rsidR="001C34BC" w:rsidRPr="00E74967" w:rsidRDefault="000E1F4B" w:rsidP="001C34BC">
      <w:pPr>
        <w:tabs>
          <w:tab w:val="left" w:leader="underscore" w:pos="9639"/>
        </w:tabs>
        <w:spacing w:after="0" w:line="240" w:lineRule="auto"/>
        <w:jc w:val="both"/>
        <w:rPr>
          <w:rFonts w:cs="Calibri"/>
        </w:rPr>
      </w:pPr>
      <w:r>
        <w:rPr>
          <w:rFonts w:cs="Calibri"/>
        </w:rPr>
        <w:t>Cuarto trimestre $</w:t>
      </w:r>
      <w:r w:rsidRPr="000E1F4B">
        <w:rPr>
          <w:rFonts w:cs="Calibri"/>
        </w:rPr>
        <w:t>52,796,916.62</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555AE522"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B152C09" w:rsidR="00D5018E" w:rsidRPr="00E74967" w:rsidRDefault="00F378EB" w:rsidP="00CB41C4">
      <w:pPr>
        <w:tabs>
          <w:tab w:val="left" w:leader="underscore" w:pos="9639"/>
        </w:tabs>
        <w:spacing w:after="0" w:line="240" w:lineRule="auto"/>
        <w:jc w:val="both"/>
        <w:rPr>
          <w:rFonts w:cs="Calibri"/>
        </w:rPr>
      </w:pPr>
      <w:r>
        <w:rPr>
          <w:noProof/>
          <w:lang w:eastAsia="es-MX"/>
        </w:rPr>
        <mc:AlternateContent>
          <mc:Choice Requires="wps">
            <w:drawing>
              <wp:anchor distT="0" distB="0" distL="114300" distR="114300" simplePos="0" relativeHeight="251663360" behindDoc="0" locked="0" layoutInCell="1" allowOverlap="1" wp14:anchorId="23D1487A" wp14:editId="187410E1">
                <wp:simplePos x="0" y="0"/>
                <wp:positionH relativeFrom="margin">
                  <wp:align>right</wp:align>
                </wp:positionH>
                <wp:positionV relativeFrom="paragraph">
                  <wp:posOffset>600075</wp:posOffset>
                </wp:positionV>
                <wp:extent cx="1847850" cy="609600"/>
                <wp:effectExtent l="0" t="0" r="0" b="0"/>
                <wp:wrapNone/>
                <wp:docPr id="3"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789F3331" w14:textId="77777777" w:rsidR="00F378EB" w:rsidRDefault="00F378EB" w:rsidP="00F378EB">
                            <w:pPr>
                              <w:pStyle w:val="NormalWeb"/>
                              <w:spacing w:before="0" w:beforeAutospacing="0" w:after="0" w:afterAutospacing="0"/>
                            </w:pPr>
                            <w:r>
                              <w:rPr>
                                <w:rFonts w:ascii="Arial" w:hAnsi="Arial" w:cs="Arial"/>
                                <w:color w:val="000000"/>
                                <w:sz w:val="16"/>
                                <w:szCs w:val="16"/>
                              </w:rPr>
                              <w:t>Contador General</w:t>
                            </w:r>
                          </w:p>
                          <w:p w14:paraId="0E7BD32B" w14:textId="77777777" w:rsidR="00F378EB" w:rsidRDefault="00F378EB" w:rsidP="00F378EB">
                            <w:pPr>
                              <w:pStyle w:val="NormalWeb"/>
                              <w:spacing w:before="0" w:beforeAutospacing="0" w:after="0" w:afterAutospacing="0"/>
                            </w:pPr>
                            <w:r>
                              <w:rPr>
                                <w:rFonts w:ascii="Arial" w:hAnsi="Arial" w:cs="Arial"/>
                                <w:color w:val="000000"/>
                                <w:sz w:val="16"/>
                                <w:szCs w:val="16"/>
                              </w:rPr>
                              <w:t>Mario Alberto Aldape Lugo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23D1487A" id="_x0000_t202" coordsize="21600,21600" o:spt="202" path="m,l,21600r21600,l21600,xe">
                <v:stroke joinstyle="miter"/>
                <v:path gradientshapeok="t" o:connecttype="rect"/>
              </v:shapetype>
              <v:shape id="9 CuadroTexto" o:spid="_x0000_s1026" type="#_x0000_t202" style="position:absolute;left:0;text-align:left;margin-left:94.3pt;margin-top:47.25pt;width:145.5pt;height:4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" fillcolor="window" stroked="f">
                <v:path arrowok="t"/>
                <v:textbox>
                  <w:txbxContent>
                    <w:p w14:paraId="789F3331" w14:textId="77777777" w:rsidR="00F378EB" w:rsidRDefault="00F378EB" w:rsidP="00F378EB">
                      <w:pPr>
                        <w:pStyle w:val="NormalWeb"/>
                        <w:spacing w:before="0" w:beforeAutospacing="0" w:after="0" w:afterAutospacing="0"/>
                      </w:pPr>
                      <w:r>
                        <w:rPr>
                          <w:rFonts w:ascii="Arial" w:hAnsi="Arial" w:cs="Arial"/>
                          <w:color w:val="000000"/>
                          <w:sz w:val="16"/>
                          <w:szCs w:val="16"/>
                        </w:rPr>
                        <w:t>Contador General</w:t>
                      </w:r>
                    </w:p>
                    <w:p w14:paraId="0E7BD32B" w14:textId="77777777" w:rsidR="00F378EB" w:rsidRDefault="00F378EB" w:rsidP="00F378EB">
                      <w:pPr>
                        <w:pStyle w:val="NormalWeb"/>
                        <w:spacing w:before="0" w:beforeAutospacing="0" w:after="0" w:afterAutospacing="0"/>
                      </w:pPr>
                      <w:r>
                        <w:rPr>
                          <w:rFonts w:ascii="Arial" w:hAnsi="Arial" w:cs="Arial"/>
                          <w:color w:val="000000"/>
                          <w:sz w:val="16"/>
                          <w:szCs w:val="16"/>
                        </w:rPr>
                        <w:t>Mario Alberto Aldape Lugo</w:t>
                      </w:r>
                    </w:p>
                  </w:txbxContent>
                </v:textbox>
                <w10:wrap anchorx="margin"/>
              </v:shape>
            </w:pict>
          </mc:Fallback>
        </mc:AlternateContent>
      </w:r>
      <w:r>
        <w:rPr>
          <w:noProof/>
          <w:lang w:eastAsia="es-MX"/>
        </w:rPr>
        <mc:AlternateContent>
          <mc:Choice Requires="wps">
            <w:drawing>
              <wp:anchor distT="0" distB="0" distL="114300" distR="114300" simplePos="0" relativeHeight="251659264" behindDoc="0" locked="0" layoutInCell="1" allowOverlap="1" wp14:anchorId="18EF68D2" wp14:editId="316D6729">
                <wp:simplePos x="0" y="0"/>
                <wp:positionH relativeFrom="margin">
                  <wp:align>left</wp:align>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2FB880C5" w14:textId="77777777" w:rsidR="00F378EB" w:rsidRDefault="00F378EB" w:rsidP="00F378EB">
                            <w:pPr>
                              <w:pStyle w:val="NormalWeb"/>
                              <w:spacing w:before="0" w:beforeAutospacing="0" w:after="0" w:afterAutospacing="0"/>
                            </w:pPr>
                            <w:r>
                              <w:rPr>
                                <w:rFonts w:ascii="Arial" w:hAnsi="Arial" w:cs="Arial"/>
                                <w:color w:val="000000"/>
                                <w:sz w:val="16"/>
                                <w:szCs w:val="16"/>
                              </w:rPr>
                              <w:t>Director General</w:t>
                            </w:r>
                          </w:p>
                          <w:p w14:paraId="5430C1E2" w14:textId="77777777" w:rsidR="00F378EB" w:rsidRDefault="00F378EB" w:rsidP="00F378EB">
                            <w:pPr>
                              <w:pStyle w:val="NormalWeb"/>
                              <w:spacing w:before="0" w:beforeAutospacing="0" w:after="0" w:afterAutospacing="0"/>
                            </w:pPr>
                            <w:r>
                              <w:rPr>
                                <w:rFonts w:ascii="Arial" w:hAnsi="Arial" w:cs="Arial"/>
                                <w:color w:val="000000"/>
                                <w:sz w:val="16"/>
                                <w:szCs w:val="16"/>
                              </w:rPr>
                              <w:t>Gerardo Ibarra Aranda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8EF68D2" id="_x0000_s1027" type="#_x0000_t202" style="position:absolute;left:0;text-align:left;margin-left:0;margin-top:46.5pt;width:145.5pt;height: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H7WNN3sAQAAvgMAAA4AAAAAAAAAAAAAAAAALgIAAGRycy9lMm9Eb2Mu&#10;eG1sUEsBAi0AFAAGAAgAAAAhAIWV3u/dAAAABwEAAA8AAAAAAAAAAAAAAAAARgQAAGRycy9kb3du&#10;cmV2LnhtbFBLBQYAAAAABAAEAPMAAABQBQAAAAA=&#10;" fillcolor="window" stroked="f">
                <v:path arrowok="t"/>
                <v:textbox>
                  <w:txbxContent>
                    <w:p w14:paraId="2FB880C5" w14:textId="77777777" w:rsidR="00F378EB" w:rsidRDefault="00F378EB" w:rsidP="00F378EB">
                      <w:pPr>
                        <w:pStyle w:val="NormalWeb"/>
                        <w:spacing w:before="0" w:beforeAutospacing="0" w:after="0" w:afterAutospacing="0"/>
                      </w:pPr>
                      <w:r>
                        <w:rPr>
                          <w:rFonts w:ascii="Arial" w:hAnsi="Arial" w:cs="Arial"/>
                          <w:color w:val="000000"/>
                          <w:sz w:val="16"/>
                          <w:szCs w:val="16"/>
                        </w:rPr>
                        <w:t>Director General</w:t>
                      </w:r>
                    </w:p>
                    <w:p w14:paraId="5430C1E2" w14:textId="77777777" w:rsidR="00F378EB" w:rsidRDefault="00F378EB" w:rsidP="00F378EB">
                      <w:pPr>
                        <w:pStyle w:val="NormalWeb"/>
                        <w:spacing w:before="0" w:beforeAutospacing="0" w:after="0" w:afterAutospacing="0"/>
                      </w:pPr>
                      <w:r>
                        <w:rPr>
                          <w:rFonts w:ascii="Arial" w:hAnsi="Arial" w:cs="Arial"/>
                          <w:color w:val="000000"/>
                          <w:sz w:val="16"/>
                          <w:szCs w:val="16"/>
                        </w:rPr>
                        <w:t>Gerardo Ibarra Aranda</w:t>
                      </w:r>
                    </w:p>
                  </w:txbxContent>
                </v:textbox>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14:anchorId="4E093634" wp14:editId="446F2DCA">
                <wp:simplePos x="0" y="0"/>
                <wp:positionH relativeFrom="margin">
                  <wp:align>center</wp:align>
                </wp:positionH>
                <wp:positionV relativeFrom="paragraph">
                  <wp:posOffset>590550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7740E15C" w14:textId="77777777" w:rsidR="00F378EB" w:rsidRDefault="00F378EB" w:rsidP="00F378EB">
                            <w:pPr>
                              <w:pStyle w:val="NormalWeb"/>
                              <w:spacing w:before="0" w:beforeAutospacing="0" w:after="0" w:afterAutospacing="0"/>
                            </w:pPr>
                            <w:r>
                              <w:rPr>
                                <w:rFonts w:ascii="Arial" w:hAnsi="Arial" w:cs="Arial"/>
                                <w:color w:val="000000"/>
                                <w:sz w:val="16"/>
                                <w:szCs w:val="16"/>
                              </w:rPr>
                              <w:t>Directora Administrativo</w:t>
                            </w:r>
                          </w:p>
                          <w:p w14:paraId="0F128EA5" w14:textId="77777777" w:rsidR="00F378EB" w:rsidRDefault="00F378EB" w:rsidP="00F378EB">
                            <w:pPr>
                              <w:pStyle w:val="NormalWeb"/>
                              <w:spacing w:before="0" w:beforeAutospacing="0" w:after="0" w:afterAutospacing="0"/>
                            </w:pPr>
                            <w:r>
                              <w:rPr>
                                <w:rFonts w:ascii="Arial" w:hAnsi="Arial" w:cs="Arial"/>
                                <w:color w:val="000000"/>
                                <w:sz w:val="16"/>
                                <w:szCs w:val="16"/>
                              </w:rPr>
                              <w:t>Virginia Frausto Horta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E093634" id="_x0000_s1028"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" fillcolor="window" stroked="f">
                <v:path arrowok="t"/>
                <v:textbox>
                  <w:txbxContent>
                    <w:p w14:paraId="7740E15C" w14:textId="77777777" w:rsidR="00F378EB" w:rsidRDefault="00F378EB" w:rsidP="00F378EB">
                      <w:pPr>
                        <w:pStyle w:val="NormalWeb"/>
                        <w:spacing w:before="0" w:beforeAutospacing="0" w:after="0" w:afterAutospacing="0"/>
                      </w:pPr>
                      <w:r>
                        <w:rPr>
                          <w:rFonts w:ascii="Arial" w:hAnsi="Arial" w:cs="Arial"/>
                          <w:color w:val="000000"/>
                          <w:sz w:val="16"/>
                          <w:szCs w:val="16"/>
                        </w:rPr>
                        <w:t>Directora Administrativo</w:t>
                      </w:r>
                    </w:p>
                    <w:p w14:paraId="0F128EA5" w14:textId="77777777" w:rsidR="00F378EB" w:rsidRDefault="00F378EB" w:rsidP="00F378EB">
                      <w:pPr>
                        <w:pStyle w:val="NormalWeb"/>
                        <w:spacing w:before="0" w:beforeAutospacing="0" w:after="0" w:afterAutospacing="0"/>
                      </w:pPr>
                      <w:r>
                        <w:rPr>
                          <w:rFonts w:ascii="Arial" w:hAnsi="Arial" w:cs="Arial"/>
                          <w:color w:val="000000"/>
                          <w:sz w:val="16"/>
                          <w:szCs w:val="16"/>
                        </w:rPr>
                        <w:t>Virginia Frausto Horta</w:t>
                      </w:r>
                    </w:p>
                  </w:txbxContent>
                </v:textbox>
                <w10:wrap anchorx="margin"/>
              </v:shape>
            </w:pict>
          </mc:Fallback>
        </mc:AlternateContent>
      </w: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42E0199" w:rsidR="0012405A" w:rsidRDefault="0012405A">
        <w:pPr>
          <w:pStyle w:val="Piedepgina"/>
          <w:jc w:val="right"/>
        </w:pPr>
        <w:r>
          <w:fldChar w:fldCharType="begin"/>
        </w:r>
        <w:r>
          <w:instrText>PAGE   \* MERGEFORMAT</w:instrText>
        </w:r>
        <w:r>
          <w:fldChar w:fldCharType="separate"/>
        </w:r>
        <w:r w:rsidR="00696FAF" w:rsidRPr="00696FAF">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620F963" w:rsidR="00154BA3" w:rsidRDefault="00CE3312" w:rsidP="00A4610E">
    <w:pPr>
      <w:pStyle w:val="Encabezado"/>
      <w:spacing w:after="0" w:line="240" w:lineRule="auto"/>
      <w:jc w:val="center"/>
    </w:pPr>
    <w:r>
      <w:t>PATRONATO DE EXPLORA</w:t>
    </w:r>
  </w:p>
  <w:p w14:paraId="651A4C4F" w14:textId="51DA064F" w:rsidR="00A4610E" w:rsidRDefault="00A4610E" w:rsidP="00A4610E">
    <w:pPr>
      <w:pStyle w:val="Encabezado"/>
      <w:spacing w:after="0" w:line="240" w:lineRule="auto"/>
      <w:jc w:val="center"/>
    </w:pPr>
    <w:r w:rsidRPr="00A4610E">
      <w:t>CORRESPONDI</w:t>
    </w:r>
    <w:r w:rsidR="00DD018C">
      <w:t>E</w:t>
    </w:r>
    <w:r w:rsidRPr="00A4610E">
      <w:t xml:space="preserve">NTES AL </w:t>
    </w:r>
    <w:r w:rsidR="00CE3312">
      <w:t>3</w:t>
    </w:r>
    <w:r w:rsidR="00696FAF">
      <w:t>1</w:t>
    </w:r>
    <w:r w:rsidR="00CE3312">
      <w:t xml:space="preserve"> DE </w:t>
    </w:r>
    <w:r w:rsidR="00696FAF">
      <w:t>DIC</w:t>
    </w:r>
    <w:r w:rsidR="0090376B">
      <w:t>IEMBRE</w:t>
    </w:r>
    <w:r w:rsidR="00CE3312">
      <w:t xml:space="preserve"> DEL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0E1F4B"/>
    <w:rsid w:val="00106EE9"/>
    <w:rsid w:val="0012405A"/>
    <w:rsid w:val="0012493A"/>
    <w:rsid w:val="00154BA3"/>
    <w:rsid w:val="00171BE1"/>
    <w:rsid w:val="00177195"/>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1AB6"/>
    <w:rsid w:val="00657009"/>
    <w:rsid w:val="00681C79"/>
    <w:rsid w:val="00696FAF"/>
    <w:rsid w:val="006B1ADF"/>
    <w:rsid w:val="006F0687"/>
    <w:rsid w:val="006F77A8"/>
    <w:rsid w:val="007610BC"/>
    <w:rsid w:val="007712A4"/>
    <w:rsid w:val="007714AB"/>
    <w:rsid w:val="007D1E76"/>
    <w:rsid w:val="007D4484"/>
    <w:rsid w:val="007E38A2"/>
    <w:rsid w:val="007F699D"/>
    <w:rsid w:val="00806269"/>
    <w:rsid w:val="00812949"/>
    <w:rsid w:val="0086420E"/>
    <w:rsid w:val="0086459F"/>
    <w:rsid w:val="008C3BB8"/>
    <w:rsid w:val="008E076C"/>
    <w:rsid w:val="008F7CBF"/>
    <w:rsid w:val="0090376B"/>
    <w:rsid w:val="00904C14"/>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E3312"/>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378EB"/>
    <w:rsid w:val="00F4335E"/>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3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1A640-2DC2-41FF-91DA-316C8AD1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2574</Words>
  <Characters>14159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Contador</cp:lastModifiedBy>
  <cp:revision>77</cp:revision>
  <dcterms:created xsi:type="dcterms:W3CDTF">2017-01-12T05:27:00Z</dcterms:created>
  <dcterms:modified xsi:type="dcterms:W3CDTF">2025-01-16T18:04:00Z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